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924FA" w14:textId="1EA79195" w:rsidR="004762CD" w:rsidRPr="009B3116" w:rsidRDefault="004762CD" w:rsidP="004762CD">
      <w:pPr>
        <w:jc w:val="center"/>
        <w:rPr>
          <w:sz w:val="24"/>
        </w:rPr>
      </w:pPr>
      <w:bookmarkStart w:id="0" w:name="_GoBack"/>
      <w:bookmarkEnd w:id="0"/>
      <w:r w:rsidRPr="009B3116">
        <w:rPr>
          <w:sz w:val="24"/>
        </w:rPr>
        <w:t>MEMORANDUM</w:t>
      </w:r>
    </w:p>
    <w:p w14:paraId="79A3ADAD" w14:textId="61143BE8" w:rsidR="004762CD" w:rsidRPr="004762CD" w:rsidRDefault="004762CD">
      <w:pPr>
        <w:rPr>
          <w:sz w:val="24"/>
        </w:rPr>
      </w:pPr>
      <w:r w:rsidRPr="004762CD">
        <w:rPr>
          <w:sz w:val="24"/>
        </w:rPr>
        <w:t xml:space="preserve">To: </w:t>
      </w:r>
      <w:r w:rsidR="009B3116">
        <w:rPr>
          <w:sz w:val="24"/>
        </w:rPr>
        <w:t>NYMTC members</w:t>
      </w:r>
    </w:p>
    <w:p w14:paraId="448EAA12" w14:textId="2854FAA1" w:rsidR="004762CD" w:rsidRPr="004762CD" w:rsidRDefault="004762CD">
      <w:pPr>
        <w:rPr>
          <w:sz w:val="24"/>
        </w:rPr>
      </w:pPr>
      <w:r w:rsidRPr="004762CD">
        <w:rPr>
          <w:sz w:val="24"/>
        </w:rPr>
        <w:t xml:space="preserve">From: </w:t>
      </w:r>
      <w:r w:rsidR="009B3116">
        <w:rPr>
          <w:sz w:val="24"/>
        </w:rPr>
        <w:t>New York City Department of City Planning</w:t>
      </w:r>
    </w:p>
    <w:p w14:paraId="7B17F053" w14:textId="571E25D8" w:rsidR="004762CD" w:rsidRPr="004762CD" w:rsidRDefault="004762CD">
      <w:pPr>
        <w:rPr>
          <w:sz w:val="24"/>
        </w:rPr>
      </w:pPr>
      <w:r w:rsidRPr="004762CD">
        <w:rPr>
          <w:sz w:val="24"/>
        </w:rPr>
        <w:t>Date: June 3, 2019</w:t>
      </w:r>
    </w:p>
    <w:p w14:paraId="0E917DD6" w14:textId="3B746C10" w:rsidR="00713262" w:rsidRPr="004762CD" w:rsidRDefault="00713262">
      <w:pPr>
        <w:rPr>
          <w:sz w:val="24"/>
        </w:rPr>
      </w:pPr>
      <w:r w:rsidRPr="004762CD">
        <w:rPr>
          <w:sz w:val="24"/>
        </w:rPr>
        <w:t>Re: Reliability considerations for CTPP 2012-16 in NY Metro Region</w:t>
      </w:r>
    </w:p>
    <w:p w14:paraId="483176AF" w14:textId="1A60075D" w:rsidR="00376335" w:rsidRPr="002009AD" w:rsidRDefault="004762CD" w:rsidP="009B3116">
      <w:pPr>
        <w:spacing w:before="48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1943C" wp14:editId="0BF31E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D579E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376335" w:rsidRPr="002009AD">
        <w:rPr>
          <w:b/>
          <w:sz w:val="24"/>
        </w:rPr>
        <w:t>What is CTPP?</w:t>
      </w:r>
    </w:p>
    <w:p w14:paraId="2CA2F7B5" w14:textId="726C806B" w:rsidR="00376335" w:rsidRDefault="00376335">
      <w:r>
        <w:t>Census Transportation Planning P</w:t>
      </w:r>
      <w:r w:rsidR="003B7B54">
        <w:t>roduct</w:t>
      </w:r>
      <w:r>
        <w:t xml:space="preserve"> (CTPP) is a special tabulation of </w:t>
      </w:r>
      <w:r w:rsidR="001F47F2">
        <w:t xml:space="preserve">U.S. Census Bureau </w:t>
      </w:r>
      <w:r>
        <w:t xml:space="preserve">American Community Survey (ACS) data designed for transportation </w:t>
      </w:r>
      <w:r w:rsidR="001F47F2">
        <w:t>planning</w:t>
      </w:r>
      <w:r>
        <w:t xml:space="preserve">, describing </w:t>
      </w:r>
      <w:r w:rsidR="001F47F2">
        <w:t xml:space="preserve">socioeconomic </w:t>
      </w:r>
      <w:r>
        <w:t xml:space="preserve">characteristics of </w:t>
      </w:r>
      <w:r w:rsidR="001F47F2">
        <w:t xml:space="preserve">the population by </w:t>
      </w:r>
      <w:r>
        <w:t>residence, workplace</w:t>
      </w:r>
      <w:r w:rsidR="001F47F2">
        <w:t>,</w:t>
      </w:r>
      <w:r>
        <w:t xml:space="preserve"> and home-to-work</w:t>
      </w:r>
      <w:r w:rsidR="001F47F2">
        <w:t xml:space="preserve"> (i.e. origin-destination)</w:t>
      </w:r>
      <w:r>
        <w:t xml:space="preserve"> trips. The latest release is derived from </w:t>
      </w:r>
      <w:r w:rsidR="001F47F2">
        <w:t xml:space="preserve">the </w:t>
      </w:r>
      <w:r>
        <w:t>2012-2016 ACS 5-</w:t>
      </w:r>
      <w:r w:rsidR="001F47F2">
        <w:t xml:space="preserve">Year Estimates, </w:t>
      </w:r>
      <w:r>
        <w:t xml:space="preserve">and the </w:t>
      </w:r>
      <w:r w:rsidR="001F47F2">
        <w:t>prior release was</w:t>
      </w:r>
      <w:r>
        <w:t xml:space="preserve"> derived from 2006-2010 </w:t>
      </w:r>
      <w:r w:rsidR="001F47F2">
        <w:t>ACS 5-Year</w:t>
      </w:r>
      <w:r>
        <w:t xml:space="preserve"> </w:t>
      </w:r>
      <w:r w:rsidR="001F47F2">
        <w:t>Estimates, each release representing a 5-year annual average across the indicated period</w:t>
      </w:r>
      <w:r>
        <w:t xml:space="preserve">. </w:t>
      </w:r>
    </w:p>
    <w:p w14:paraId="0305B652" w14:textId="33130D23" w:rsidR="00360155" w:rsidRDefault="00376335" w:rsidP="0067323E">
      <w:pPr>
        <w:spacing w:after="240"/>
      </w:pPr>
      <w:r>
        <w:t>CTPP datafiles are typically organized in three parts—</w:t>
      </w:r>
      <w:r w:rsidRPr="0067323E">
        <w:rPr>
          <w:b/>
        </w:rPr>
        <w:t>Part 1: Residence</w:t>
      </w:r>
      <w:r>
        <w:t xml:space="preserve">; </w:t>
      </w:r>
      <w:r w:rsidRPr="0067323E">
        <w:rPr>
          <w:b/>
        </w:rPr>
        <w:t>Part 2: Workplace</w:t>
      </w:r>
      <w:r>
        <w:t>;</w:t>
      </w:r>
      <w:r w:rsidR="00360155">
        <w:t xml:space="preserve"> </w:t>
      </w:r>
      <w:r w:rsidR="00360155" w:rsidRPr="0067323E">
        <w:rPr>
          <w:b/>
        </w:rPr>
        <w:t>and Part 3: Flows</w:t>
      </w:r>
      <w:r w:rsidR="001F47F2">
        <w:t xml:space="preserve"> (origin-destination pairs)</w:t>
      </w:r>
      <w:r w:rsidR="00360155">
        <w:t xml:space="preserve">. Data are </w:t>
      </w:r>
      <w:r w:rsidR="00806AEA">
        <w:t>reported</w:t>
      </w:r>
      <w:r w:rsidR="00360155">
        <w:t xml:space="preserve"> at</w:t>
      </w:r>
      <w:r w:rsidR="001F47F2">
        <w:t xml:space="preserve"> geographic</w:t>
      </w:r>
      <w:r w:rsidR="00360155">
        <w:t xml:space="preserve"> summary level</w:t>
      </w:r>
      <w:r w:rsidR="00DB5431">
        <w:t>s</w:t>
      </w:r>
      <w:r w:rsidR="00360155">
        <w:t xml:space="preserve"> as granular as </w:t>
      </w:r>
      <w:r w:rsidR="001F47F2">
        <w:t xml:space="preserve">Census Tracts </w:t>
      </w:r>
      <w:r w:rsidR="00360155">
        <w:t>and T</w:t>
      </w:r>
      <w:r w:rsidR="001F47F2">
        <w:t>ra</w:t>
      </w:r>
      <w:r w:rsidR="00C125BC">
        <w:t>ffic</w:t>
      </w:r>
      <w:r w:rsidR="001F47F2">
        <w:t xml:space="preserve"> Analysis Zones (T</w:t>
      </w:r>
      <w:r w:rsidR="00360155">
        <w:t>AZs</w:t>
      </w:r>
      <w:r w:rsidR="001F47F2">
        <w:t>), and as large as counties and states</w:t>
      </w:r>
      <w:r w:rsidR="00360155">
        <w:t xml:space="preserve">.  </w:t>
      </w:r>
    </w:p>
    <w:p w14:paraId="0D3019EB" w14:textId="7CEBC496" w:rsidR="00376335" w:rsidRPr="0067323E" w:rsidRDefault="00376335" w:rsidP="0067323E">
      <w:pPr>
        <w:spacing w:after="120"/>
        <w:rPr>
          <w:b/>
          <w:sz w:val="24"/>
        </w:rPr>
      </w:pPr>
      <w:r w:rsidRPr="0067323E">
        <w:rPr>
          <w:b/>
          <w:sz w:val="24"/>
        </w:rPr>
        <w:t>What</w:t>
      </w:r>
      <w:r w:rsidR="00360155" w:rsidRPr="0067323E">
        <w:rPr>
          <w:b/>
          <w:sz w:val="24"/>
        </w:rPr>
        <w:t xml:space="preserve"> i</w:t>
      </w:r>
      <w:r w:rsidRPr="0067323E">
        <w:rPr>
          <w:b/>
          <w:sz w:val="24"/>
        </w:rPr>
        <w:t>s the issue with</w:t>
      </w:r>
      <w:r w:rsidR="001F47F2" w:rsidRPr="0067323E">
        <w:rPr>
          <w:b/>
          <w:sz w:val="24"/>
        </w:rPr>
        <w:t xml:space="preserve"> the current</w:t>
      </w:r>
      <w:r w:rsidRPr="0067323E">
        <w:rPr>
          <w:b/>
          <w:sz w:val="24"/>
        </w:rPr>
        <w:t xml:space="preserve"> CTPP release</w:t>
      </w:r>
      <w:r w:rsidR="001F47F2" w:rsidRPr="0067323E">
        <w:rPr>
          <w:b/>
          <w:sz w:val="24"/>
        </w:rPr>
        <w:t xml:space="preserve"> (2012-2016)</w:t>
      </w:r>
      <w:r w:rsidRPr="0067323E">
        <w:rPr>
          <w:b/>
          <w:sz w:val="24"/>
        </w:rPr>
        <w:t>?</w:t>
      </w:r>
    </w:p>
    <w:p w14:paraId="54F77B05" w14:textId="05E535D9" w:rsidR="00435F3E" w:rsidRDefault="001F47F2" w:rsidP="002009AD">
      <w:r>
        <w:t>NYCDCP</w:t>
      </w:r>
      <w:r w:rsidR="00376335">
        <w:t xml:space="preserve"> observed </w:t>
      </w:r>
      <w:r w:rsidR="00360155">
        <w:t xml:space="preserve">a </w:t>
      </w:r>
      <w:r w:rsidR="00376335">
        <w:t>significant undercount</w:t>
      </w:r>
      <w:r>
        <w:t xml:space="preserve"> of workers and residents in</w:t>
      </w:r>
      <w:r w:rsidR="00376335">
        <w:t xml:space="preserve"> </w:t>
      </w:r>
      <w:r w:rsidR="00360155">
        <w:t>Part 2 and Part 3</w:t>
      </w:r>
      <w:r w:rsidR="00D610CB">
        <w:t xml:space="preserve"> of the new CTPP release</w:t>
      </w:r>
      <w:r>
        <w:t xml:space="preserve"> for </w:t>
      </w:r>
      <w:r w:rsidR="00C125BC">
        <w:t xml:space="preserve">data reported by </w:t>
      </w:r>
      <w:r>
        <w:t xml:space="preserve">geographic </w:t>
      </w:r>
      <w:r w:rsidR="00360155">
        <w:t>summary levels</w:t>
      </w:r>
      <w:r>
        <w:t xml:space="preserve"> smaller than counties</w:t>
      </w:r>
      <w:r w:rsidR="00360155">
        <w:t xml:space="preserve"> (e.g. tracts, TAZs). </w:t>
      </w:r>
    </w:p>
    <w:p w14:paraId="488C7B89" w14:textId="35B255B6" w:rsidR="00435F3E" w:rsidRDefault="00435F3E" w:rsidP="00435F3E">
      <w:r>
        <w:t>For example, the 2012-2016 CTPP</w:t>
      </w:r>
      <w:r w:rsidR="00BB0CAB">
        <w:t xml:space="preserve"> reported </w:t>
      </w:r>
      <w:r>
        <w:t xml:space="preserve">the total number </w:t>
      </w:r>
      <w:r w:rsidRPr="00C0015A">
        <w:t>of people who work in New York State (i.e. Part 2 total) is 9,515,770</w:t>
      </w:r>
      <w:r w:rsidR="00BB0CAB">
        <w:t>, when summing by county.</w:t>
      </w:r>
      <w:r w:rsidRPr="00C0015A">
        <w:t xml:space="preserve"> </w:t>
      </w:r>
      <w:r w:rsidR="00BB0CAB">
        <w:t>However</w:t>
      </w:r>
      <w:r w:rsidRPr="00C0015A">
        <w:t xml:space="preserve">, the sum of </w:t>
      </w:r>
      <w:r w:rsidR="00BB0CAB">
        <w:t>reported workers</w:t>
      </w:r>
      <w:r w:rsidRPr="00C0015A">
        <w:t xml:space="preserve"> by tract</w:t>
      </w:r>
      <w:r w:rsidR="00BB0CAB">
        <w:t xml:space="preserve"> for New York State (NYS)</w:t>
      </w:r>
      <w:r w:rsidRPr="00C0015A">
        <w:t xml:space="preserve"> is 7,257,862 (24% lower than the Part 2 county</w:t>
      </w:r>
      <w:r>
        <w:t xml:space="preserve"> total). </w:t>
      </w:r>
      <w:r w:rsidR="00BB0CAB">
        <w:t>T</w:t>
      </w:r>
      <w:r>
        <w:t xml:space="preserve">he </w:t>
      </w:r>
      <w:r w:rsidR="00BB0CAB">
        <w:t xml:space="preserve">reported </w:t>
      </w:r>
      <w:r>
        <w:t xml:space="preserve">total </w:t>
      </w:r>
      <w:r w:rsidRPr="00C0015A">
        <w:t xml:space="preserve">number of employed </w:t>
      </w:r>
      <w:r w:rsidR="00BB0CAB">
        <w:t>NYS</w:t>
      </w:r>
      <w:r w:rsidR="00157649" w:rsidRPr="00C0015A">
        <w:t xml:space="preserve"> residents</w:t>
      </w:r>
      <w:r w:rsidR="00BB0CAB">
        <w:t xml:space="preserve"> by residence location (i.e. Part 1 total)</w:t>
      </w:r>
      <w:r w:rsidR="00157649">
        <w:t xml:space="preserve"> </w:t>
      </w:r>
      <w:r>
        <w:t>is 9,148,028</w:t>
      </w:r>
      <w:r w:rsidR="00BB0CAB">
        <w:t>, which was equal to the</w:t>
      </w:r>
      <w:r>
        <w:t xml:space="preserve"> county-level </w:t>
      </w:r>
      <w:r w:rsidR="00BB0CAB">
        <w:t>aggregation</w:t>
      </w:r>
      <w:r>
        <w:t xml:space="preserve">. However, the Part 3 reported total number of employed </w:t>
      </w:r>
      <w:r w:rsidR="00BB0CAB">
        <w:t>NYS</w:t>
      </w:r>
      <w:r>
        <w:t xml:space="preserve"> residents aggregated by tract is </w:t>
      </w:r>
      <w:r w:rsidRPr="003B3CEC">
        <w:t>6</w:t>
      </w:r>
      <w:r>
        <w:t>,</w:t>
      </w:r>
      <w:r w:rsidRPr="003B3CEC">
        <w:t>927</w:t>
      </w:r>
      <w:r>
        <w:t>,</w:t>
      </w:r>
      <w:r w:rsidRPr="003B3CEC">
        <w:t>621</w:t>
      </w:r>
      <w:r>
        <w:t xml:space="preserve">, suggesting a known place of work for only 76% of employed </w:t>
      </w:r>
      <w:r w:rsidR="00BB0CAB">
        <w:t>NYS</w:t>
      </w:r>
      <w:r>
        <w:t xml:space="preserve"> residents – representing a discrepancy of 2.2 million employed </w:t>
      </w:r>
      <w:r w:rsidR="00BB0CAB">
        <w:t>NYS</w:t>
      </w:r>
      <w:r>
        <w:t xml:space="preserve"> residents when examining </w:t>
      </w:r>
      <w:r w:rsidR="00BB0CAB">
        <w:t xml:space="preserve">residence-workplace </w:t>
      </w:r>
      <w:r>
        <w:t xml:space="preserve">flows </w:t>
      </w:r>
      <w:r w:rsidR="00BB0CAB">
        <w:t>for</w:t>
      </w:r>
      <w:r>
        <w:t xml:space="preserve"> geographies smaller than counties. </w:t>
      </w:r>
    </w:p>
    <w:p w14:paraId="636BF7C7" w14:textId="028BF26A" w:rsidR="00D610CB" w:rsidRPr="0067323E" w:rsidRDefault="00704F7E" w:rsidP="0067323E">
      <w:pPr>
        <w:spacing w:after="120"/>
        <w:rPr>
          <w:b/>
          <w:sz w:val="24"/>
        </w:rPr>
      </w:pPr>
      <w:r w:rsidRPr="0067323E">
        <w:rPr>
          <w:b/>
          <w:sz w:val="24"/>
        </w:rPr>
        <w:t xml:space="preserve">What is the cause of </w:t>
      </w:r>
      <w:r w:rsidR="009C33D7" w:rsidRPr="0067323E">
        <w:rPr>
          <w:b/>
          <w:sz w:val="24"/>
        </w:rPr>
        <w:t>the discrepancy between Part 1 and Parts 2 and 3</w:t>
      </w:r>
      <w:r w:rsidRPr="0067323E">
        <w:rPr>
          <w:b/>
          <w:sz w:val="24"/>
        </w:rPr>
        <w:t>?</w:t>
      </w:r>
    </w:p>
    <w:p w14:paraId="400D6EDA" w14:textId="0B8D86BA" w:rsidR="0067323E" w:rsidRDefault="00D610CB">
      <w:r>
        <w:t xml:space="preserve">According to the </w:t>
      </w:r>
      <w:r w:rsidR="009C33D7">
        <w:t xml:space="preserve">U.S. </w:t>
      </w:r>
      <w:r>
        <w:t>Census Bureau and AASHTO</w:t>
      </w:r>
      <w:r w:rsidR="0067323E">
        <w:t>, the entities that prepare and oversee the CTPP datasets</w:t>
      </w:r>
      <w:r w:rsidR="003274BE">
        <w:t xml:space="preserve">, the primary reason </w:t>
      </w:r>
      <w:r w:rsidR="00707F11">
        <w:t>for the undercount</w:t>
      </w:r>
      <w:r w:rsidR="009C33D7">
        <w:t xml:space="preserve"> in</w:t>
      </w:r>
      <w:r w:rsidR="00707F11">
        <w:t xml:space="preserve"> Part</w:t>
      </w:r>
      <w:r w:rsidR="009C33D7">
        <w:t>s</w:t>
      </w:r>
      <w:r w:rsidR="00707F11">
        <w:t xml:space="preserve"> 2 and 3 </w:t>
      </w:r>
      <w:r w:rsidR="003274BE">
        <w:t xml:space="preserve">is </w:t>
      </w:r>
      <w:r w:rsidR="0067323E">
        <w:t>due to the</w:t>
      </w:r>
      <w:r w:rsidR="00707F11">
        <w:t xml:space="preserve"> large percentage of respondents</w:t>
      </w:r>
      <w:r w:rsidR="0067323E">
        <w:t xml:space="preserve"> (estimated 25% on average across the country) who</w:t>
      </w:r>
      <w:r w:rsidR="00707F11">
        <w:t xml:space="preserve"> do not provide </w:t>
      </w:r>
      <w:r w:rsidR="0067323E">
        <w:t xml:space="preserve">any or </w:t>
      </w:r>
      <w:r w:rsidR="00707F11">
        <w:t>enough information about their workplace</w:t>
      </w:r>
      <w:r w:rsidR="0067323E">
        <w:t xml:space="preserve"> location</w:t>
      </w:r>
      <w:r w:rsidR="00707F11">
        <w:t>, which makes geocoding their places of work</w:t>
      </w:r>
      <w:r w:rsidR="00FF7924">
        <w:t xml:space="preserve"> </w:t>
      </w:r>
      <w:r w:rsidR="0067323E">
        <w:t xml:space="preserve">at smaller </w:t>
      </w:r>
      <w:r w:rsidR="0067323E">
        <w:lastRenderedPageBreak/>
        <w:t>geographies (i.e. below county-level) difficult or not possible</w:t>
      </w:r>
      <w:r w:rsidR="00707F11">
        <w:t xml:space="preserve">. </w:t>
      </w:r>
      <w:r w:rsidR="0067323E">
        <w:t>Therefore, the reported totals for Parts 2 and 3 are for those respondents with a known place of work.</w:t>
      </w:r>
    </w:p>
    <w:p w14:paraId="5E6267B4" w14:textId="265EA1DE" w:rsidR="00FF7924" w:rsidRDefault="00FF7924">
      <w:r>
        <w:t>For the 2006-2010 CTPP</w:t>
      </w:r>
      <w:r w:rsidR="0067323E">
        <w:t xml:space="preserve"> (and earlier products), the </w:t>
      </w:r>
      <w:r w:rsidR="0015662C">
        <w:t>Census Bure</w:t>
      </w:r>
      <w:r w:rsidR="00E001DF">
        <w:t xml:space="preserve">au </w:t>
      </w:r>
      <w:r>
        <w:t>adopted an extended allocation procedure</w:t>
      </w:r>
      <w:r w:rsidR="00AB62AA">
        <w:t>, an</w:t>
      </w:r>
      <w:r w:rsidR="0067323E">
        <w:t xml:space="preserve"> imputation process </w:t>
      </w:r>
      <w:r>
        <w:t xml:space="preserve">intended to allocate </w:t>
      </w:r>
      <w:r w:rsidR="0067323E">
        <w:t>workers with unknown workplace locations to a Census Block-level place of work based on other known/reported characteristics prior to publication of the datasets. Using</w:t>
      </w:r>
      <w:r w:rsidR="004A4929">
        <w:t xml:space="preserve"> that imputation</w:t>
      </w:r>
      <w:r w:rsidR="0067323E">
        <w:t xml:space="preserve"> process</w:t>
      </w:r>
      <w:r w:rsidR="004A4929">
        <w:t>, t</w:t>
      </w:r>
      <w:r>
        <w:t xml:space="preserve">he </w:t>
      </w:r>
      <w:r w:rsidR="0067323E">
        <w:t>aggregate</w:t>
      </w:r>
      <w:r>
        <w:t xml:space="preserve"> </w:t>
      </w:r>
      <w:r w:rsidR="0067323E">
        <w:t xml:space="preserve">totals for </w:t>
      </w:r>
      <w:r>
        <w:t>small</w:t>
      </w:r>
      <w:r w:rsidR="0067323E">
        <w:t>er geographic</w:t>
      </w:r>
      <w:r>
        <w:t xml:space="preserve"> summary levels (e.g. tracts)</w:t>
      </w:r>
      <w:r w:rsidR="0067323E">
        <w:t xml:space="preserve"> in the Parts 2 and 3 data</w:t>
      </w:r>
      <w:r>
        <w:t xml:space="preserve"> </w:t>
      </w:r>
      <w:r w:rsidR="0067323E">
        <w:t>represented</w:t>
      </w:r>
      <w:r w:rsidR="004A4929">
        <w:t xml:space="preserve"> </w:t>
      </w:r>
      <w:r w:rsidR="00BB0CAB">
        <w:t>nearly</w:t>
      </w:r>
      <w:r w:rsidR="009D21E0">
        <w:t xml:space="preserve"> </w:t>
      </w:r>
      <w:r w:rsidR="004A4929">
        <w:t xml:space="preserve">100 percent coverage </w:t>
      </w:r>
      <w:r w:rsidR="0067323E">
        <w:t>in New York City and surrounding metro region</w:t>
      </w:r>
      <w:r w:rsidR="00952FD1">
        <w:t xml:space="preserve">.  </w:t>
      </w:r>
      <w:r w:rsidR="00E56757">
        <w:t xml:space="preserve"> </w:t>
      </w:r>
    </w:p>
    <w:p w14:paraId="00313B50" w14:textId="5D044CE0" w:rsidR="00B64426" w:rsidRDefault="00FF7924">
      <w:r>
        <w:t xml:space="preserve">However, </w:t>
      </w:r>
      <w:r w:rsidR="004A4929">
        <w:t xml:space="preserve">that extended allocation procedure was not applied to the 2012-2016 CTPP </w:t>
      </w:r>
      <w:r w:rsidR="0067323E">
        <w:t>following methodological revisions and questions surrounding the accuracy of prior results</w:t>
      </w:r>
      <w:r w:rsidR="004A4929">
        <w:t xml:space="preserve">. </w:t>
      </w:r>
      <w:r w:rsidR="00BB0CAB">
        <w:t>Though the current release may provide more accurate information</w:t>
      </w:r>
      <w:r w:rsidR="007D4C55">
        <w:t xml:space="preserve">, </w:t>
      </w:r>
      <w:r w:rsidR="004A4929">
        <w:t xml:space="preserve">missing cases at small summary levels remain missing in the </w:t>
      </w:r>
      <w:r w:rsidR="007D4C55">
        <w:t>new CTPP</w:t>
      </w:r>
      <w:r w:rsidR="004A4929">
        <w:t xml:space="preserve">, resulting in the significant difference between county-level and tract-level </w:t>
      </w:r>
      <w:r w:rsidR="0067323E">
        <w:t xml:space="preserve">figures </w:t>
      </w:r>
      <w:r w:rsidR="00546892">
        <w:t xml:space="preserve">uncovered </w:t>
      </w:r>
      <w:r w:rsidR="0067323E">
        <w:t>in Parts 2 and 3</w:t>
      </w:r>
      <w:r w:rsidR="004A4929">
        <w:t xml:space="preserve">.  </w:t>
      </w:r>
    </w:p>
    <w:p w14:paraId="0518F1A6" w14:textId="52107CB9" w:rsidR="00C65B47" w:rsidRPr="002009AD" w:rsidRDefault="00C65B47" w:rsidP="00C65B47">
      <w:pPr>
        <w:rPr>
          <w:b/>
          <w:sz w:val="24"/>
        </w:rPr>
      </w:pPr>
      <w:r w:rsidRPr="002009AD">
        <w:rPr>
          <w:b/>
          <w:sz w:val="24"/>
        </w:rPr>
        <w:t>How does th</w:t>
      </w:r>
      <w:r w:rsidR="004B4C15">
        <w:rPr>
          <w:b/>
          <w:sz w:val="24"/>
        </w:rPr>
        <w:t xml:space="preserve">is </w:t>
      </w:r>
      <w:r w:rsidRPr="002009AD">
        <w:rPr>
          <w:b/>
          <w:sz w:val="24"/>
        </w:rPr>
        <w:t xml:space="preserve">affect the way we use </w:t>
      </w:r>
      <w:r w:rsidR="004B4C15">
        <w:rPr>
          <w:b/>
          <w:sz w:val="24"/>
        </w:rPr>
        <w:t>CTPP</w:t>
      </w:r>
      <w:r w:rsidR="004B4C15" w:rsidRPr="002009AD">
        <w:rPr>
          <w:b/>
          <w:sz w:val="24"/>
        </w:rPr>
        <w:t xml:space="preserve"> </w:t>
      </w:r>
      <w:r w:rsidRPr="002009AD">
        <w:rPr>
          <w:b/>
          <w:sz w:val="24"/>
        </w:rPr>
        <w:t>data?</w:t>
      </w:r>
    </w:p>
    <w:p w14:paraId="28FB1F49" w14:textId="69B9454E" w:rsidR="00140FD0" w:rsidRDefault="00DD6B61">
      <w:r>
        <w:t xml:space="preserve">Part 1 </w:t>
      </w:r>
      <w:r w:rsidR="00025F92">
        <w:t xml:space="preserve">data for </w:t>
      </w:r>
      <w:r>
        <w:t>all</w:t>
      </w:r>
      <w:r w:rsidR="00025F92">
        <w:t xml:space="preserve"> geographic</w:t>
      </w:r>
      <w:r>
        <w:t xml:space="preserve"> summary levels and Part</w:t>
      </w:r>
      <w:r w:rsidR="00025F92">
        <w:t>s</w:t>
      </w:r>
      <w:r>
        <w:t xml:space="preserve"> 2 and 3 </w:t>
      </w:r>
      <w:r w:rsidR="00025F92">
        <w:t>data reported for</w:t>
      </w:r>
      <w:r>
        <w:t xml:space="preserve"> county or </w:t>
      </w:r>
      <w:r w:rsidR="00025F92">
        <w:t xml:space="preserve">larger geographies </w:t>
      </w:r>
      <w:r>
        <w:t xml:space="preserve">are not affected by the change in </w:t>
      </w:r>
      <w:r w:rsidR="00025F92">
        <w:t>methodology</w:t>
      </w:r>
      <w:r>
        <w:t xml:space="preserve">. However, CTPP users should take extra caution when </w:t>
      </w:r>
      <w:r w:rsidR="00546892">
        <w:t xml:space="preserve">using </w:t>
      </w:r>
      <w:r>
        <w:t xml:space="preserve">tract-or TAZ-level </w:t>
      </w:r>
      <w:r w:rsidR="00025F92">
        <w:t>Part 2 and Part 3 totals and distributions</w:t>
      </w:r>
      <w:r w:rsidR="004B4C15">
        <w:t>, such that</w:t>
      </w:r>
      <w:r w:rsidR="00025F92">
        <w:t>:</w:t>
      </w:r>
    </w:p>
    <w:p w14:paraId="44910FF7" w14:textId="79760ED1" w:rsidR="00025F92" w:rsidRDefault="00DD6B61" w:rsidP="002009AD">
      <w:pPr>
        <w:pStyle w:val="ListParagraph"/>
        <w:numPr>
          <w:ilvl w:val="0"/>
          <w:numId w:val="1"/>
        </w:numPr>
        <w:spacing w:after="80"/>
        <w:contextualSpacing w:val="0"/>
      </w:pPr>
      <w:r w:rsidRPr="002009AD">
        <w:rPr>
          <w:b/>
        </w:rPr>
        <w:t xml:space="preserve">Part 2 and Part 3 </w:t>
      </w:r>
      <w:r w:rsidR="00025F92">
        <w:rPr>
          <w:b/>
        </w:rPr>
        <w:t>published totals</w:t>
      </w:r>
      <w:r w:rsidR="00025F92" w:rsidRPr="002009AD">
        <w:rPr>
          <w:b/>
        </w:rPr>
        <w:t xml:space="preserve"> </w:t>
      </w:r>
      <w:r w:rsidR="00025F92">
        <w:rPr>
          <w:b/>
        </w:rPr>
        <w:t>for sub-county geographic summary levels</w:t>
      </w:r>
      <w:r w:rsidR="00A9461E" w:rsidRPr="002009AD">
        <w:rPr>
          <w:b/>
        </w:rPr>
        <w:t xml:space="preserve"> are not complete</w:t>
      </w:r>
      <w:r>
        <w:t>.</w:t>
      </w:r>
      <w:r w:rsidR="00025F92">
        <w:t xml:space="preserve"> </w:t>
      </w:r>
      <w:r w:rsidR="004B4C15">
        <w:t>Reported totals and distributions for these geographies</w:t>
      </w:r>
      <w:r w:rsidR="00025F92">
        <w:t xml:space="preserve"> solely represent known cases</w:t>
      </w:r>
      <w:r w:rsidR="004B4C15">
        <w:t>. Reported totals</w:t>
      </w:r>
      <w:r w:rsidR="00025F92">
        <w:t xml:space="preserve"> will not add to larger geographies</w:t>
      </w:r>
      <w:r w:rsidR="004B4C15">
        <w:t xml:space="preserve"> (e.g. tracts aggregated to counties)</w:t>
      </w:r>
      <w:r w:rsidR="00025F92">
        <w:t xml:space="preserve">, nor </w:t>
      </w:r>
      <w:r w:rsidR="004B4C15">
        <w:t xml:space="preserve">will it </w:t>
      </w:r>
      <w:r w:rsidR="00025F92">
        <w:t>equal totals reported in Part 1</w:t>
      </w:r>
      <w:r w:rsidR="00A9461E">
        <w:t xml:space="preserve">. </w:t>
      </w:r>
    </w:p>
    <w:p w14:paraId="198AE799" w14:textId="4A1D1B1A" w:rsidR="00025F92" w:rsidRDefault="00025F92" w:rsidP="002009AD">
      <w:pPr>
        <w:pStyle w:val="ListParagraph"/>
        <w:numPr>
          <w:ilvl w:val="0"/>
          <w:numId w:val="1"/>
        </w:numPr>
        <w:spacing w:after="80"/>
        <w:contextualSpacing w:val="0"/>
      </w:pPr>
      <w:r w:rsidRPr="002009AD">
        <w:rPr>
          <w:b/>
        </w:rPr>
        <w:t>C</w:t>
      </w:r>
      <w:r w:rsidR="00A9461E" w:rsidRPr="002009AD">
        <w:rPr>
          <w:b/>
        </w:rPr>
        <w:t xml:space="preserve">ases with missing </w:t>
      </w:r>
      <w:r w:rsidRPr="002009AD">
        <w:rPr>
          <w:b/>
        </w:rPr>
        <w:t xml:space="preserve">place-of-work </w:t>
      </w:r>
      <w:r w:rsidR="00A9461E" w:rsidRPr="002009AD">
        <w:rPr>
          <w:b/>
        </w:rPr>
        <w:t>data</w:t>
      </w:r>
      <w:r w:rsidR="00DD6B61" w:rsidRPr="002009AD">
        <w:rPr>
          <w:b/>
        </w:rPr>
        <w:t xml:space="preserve"> </w:t>
      </w:r>
      <w:r w:rsidR="00A9461E" w:rsidRPr="002009AD">
        <w:rPr>
          <w:b/>
        </w:rPr>
        <w:t xml:space="preserve">are not </w:t>
      </w:r>
      <w:r w:rsidR="00DD6B61" w:rsidRPr="002009AD">
        <w:rPr>
          <w:b/>
        </w:rPr>
        <w:t>evenly distributed across</w:t>
      </w:r>
      <w:r w:rsidR="00A9461E" w:rsidRPr="002009AD">
        <w:rPr>
          <w:b/>
        </w:rPr>
        <w:t xml:space="preserve"> </w:t>
      </w:r>
      <w:r w:rsidR="004B4C15">
        <w:rPr>
          <w:b/>
        </w:rPr>
        <w:t>geographies</w:t>
      </w:r>
      <w:r w:rsidR="00A9461E" w:rsidRPr="002009AD">
        <w:rPr>
          <w:b/>
        </w:rPr>
        <w:t xml:space="preserve"> and may </w:t>
      </w:r>
      <w:r w:rsidR="004B4C15">
        <w:rPr>
          <w:b/>
        </w:rPr>
        <w:t>bias</w:t>
      </w:r>
      <w:r w:rsidR="00A9461E" w:rsidRPr="002009AD">
        <w:rPr>
          <w:b/>
        </w:rPr>
        <w:t xml:space="preserve"> towards certain population groups</w:t>
      </w:r>
      <w:r w:rsidR="00A9461E">
        <w:t xml:space="preserve">. DCP’s preliminary analysis shows that the NYC neighborhoods </w:t>
      </w:r>
      <w:r w:rsidR="003F6685">
        <w:t xml:space="preserve">(parks and cemeteries excluded) are impacted by the missing </w:t>
      </w:r>
      <w:r w:rsidR="004B4C15">
        <w:t xml:space="preserve">place-of-work </w:t>
      </w:r>
      <w:r w:rsidR="003F6685">
        <w:t>data to various degrees</w:t>
      </w:r>
      <w:r w:rsidR="004B4C15">
        <w:t>. Residents with a reported place-of-work by NYC neighborhood</w:t>
      </w:r>
      <w:r w:rsidR="004B4C15">
        <w:rPr>
          <w:rStyle w:val="FootnoteReference"/>
        </w:rPr>
        <w:footnoteReference w:id="1"/>
      </w:r>
      <w:r w:rsidR="004B4C15">
        <w:t xml:space="preserve"> range </w:t>
      </w:r>
      <w:r w:rsidR="003F6685">
        <w:t xml:space="preserve">from </w:t>
      </w:r>
      <w:r w:rsidR="00337C0E">
        <w:t>37</w:t>
      </w:r>
      <w:r w:rsidR="003F6685">
        <w:t>% to</w:t>
      </w:r>
      <w:r w:rsidR="004B4C15">
        <w:t xml:space="preserve"> as </w:t>
      </w:r>
      <w:r w:rsidR="004B4C15" w:rsidRPr="0008607C">
        <w:t>high as</w:t>
      </w:r>
      <w:r w:rsidR="003F6685" w:rsidRPr="0008607C">
        <w:t xml:space="preserve"> </w:t>
      </w:r>
      <w:r w:rsidR="00337C0E" w:rsidRPr="002009AD">
        <w:t>81</w:t>
      </w:r>
      <w:r w:rsidR="003F6685">
        <w:t>%</w:t>
      </w:r>
      <w:r w:rsidR="004B4C15">
        <w:t xml:space="preserve">. </w:t>
      </w:r>
      <w:r w:rsidR="00F533D4">
        <w:t>From DCP’s observation, n</w:t>
      </w:r>
      <w:r w:rsidR="004B4C15">
        <w:t>eighborhoods</w:t>
      </w:r>
      <w:r w:rsidR="003F6685">
        <w:t xml:space="preserve"> </w:t>
      </w:r>
      <w:r w:rsidR="00546892">
        <w:t>with lower Census survey response rates</w:t>
      </w:r>
      <w:r w:rsidR="003F6685">
        <w:t xml:space="preserve"> tend to be more impacted by the undercounting issue. </w:t>
      </w:r>
    </w:p>
    <w:p w14:paraId="44EBECEA" w14:textId="6F7F50EC" w:rsidR="007D4C55" w:rsidRDefault="00025F92" w:rsidP="002009AD">
      <w:pPr>
        <w:pStyle w:val="ListParagraph"/>
        <w:numPr>
          <w:ilvl w:val="0"/>
          <w:numId w:val="1"/>
        </w:numPr>
        <w:spacing w:after="80"/>
        <w:contextualSpacing w:val="0"/>
      </w:pPr>
      <w:r w:rsidRPr="002009AD">
        <w:rPr>
          <w:b/>
        </w:rPr>
        <w:t>M</w:t>
      </w:r>
      <w:r w:rsidR="003F6685" w:rsidRPr="002009AD">
        <w:rPr>
          <w:b/>
        </w:rPr>
        <w:t>issing cases may carry a different distribution of characteristics</w:t>
      </w:r>
      <w:r w:rsidR="00140FD0" w:rsidRPr="002009AD">
        <w:rPr>
          <w:b/>
        </w:rPr>
        <w:t xml:space="preserve"> from reported cases</w:t>
      </w:r>
      <w:r w:rsidR="00140FD0">
        <w:t xml:space="preserve">. </w:t>
      </w:r>
      <w:r>
        <w:t xml:space="preserve">Based on DCP’s preliminary analysis, </w:t>
      </w:r>
      <w:r w:rsidR="00140FD0">
        <w:t xml:space="preserve">reported cases in the </w:t>
      </w:r>
      <w:r>
        <w:t xml:space="preserve">published </w:t>
      </w:r>
      <w:r w:rsidR="00140FD0">
        <w:t>data</w:t>
      </w:r>
      <w:r>
        <w:t xml:space="preserve"> available via AASHTO</w:t>
      </w:r>
      <w:r w:rsidR="00140FD0">
        <w:t xml:space="preserve"> may not be representative of all cases</w:t>
      </w:r>
      <w:r>
        <w:t xml:space="preserve"> (i.e. the knowns may not </w:t>
      </w:r>
      <w:r w:rsidR="00AC0896">
        <w:t>accurately</w:t>
      </w:r>
      <w:r>
        <w:t xml:space="preserve"> represent the unknowns).</w:t>
      </w:r>
      <w:r w:rsidR="00140FD0">
        <w:t xml:space="preserve"> For example, the reported Part 2 </w:t>
      </w:r>
      <w:r>
        <w:t xml:space="preserve">and </w:t>
      </w:r>
      <w:r w:rsidR="00140FD0">
        <w:t xml:space="preserve">Part 3 </w:t>
      </w:r>
      <w:r>
        <w:t xml:space="preserve">“Means </w:t>
      </w:r>
      <w:r w:rsidR="00140FD0">
        <w:t xml:space="preserve">of </w:t>
      </w:r>
      <w:r>
        <w:t xml:space="preserve">Transportation to Work” files </w:t>
      </w:r>
      <w:r w:rsidR="00140FD0">
        <w:t xml:space="preserve">may </w:t>
      </w:r>
      <w:r w:rsidR="00AC0896">
        <w:t xml:space="preserve">show that </w:t>
      </w:r>
      <w:r w:rsidR="00DB5640">
        <w:t>60% of residents from Census Tract A</w:t>
      </w:r>
      <w:r w:rsidR="00AC0896">
        <w:t xml:space="preserve"> travel by car to work in Census Tract</w:t>
      </w:r>
      <w:r w:rsidR="00DB5640">
        <w:t xml:space="preserve"> B.</w:t>
      </w:r>
      <w:r w:rsidR="00AC0896">
        <w:t xml:space="preserve"> </w:t>
      </w:r>
      <w:r w:rsidR="00DB5640">
        <w:t>H</w:t>
      </w:r>
      <w:r w:rsidR="00AC0896">
        <w:t xml:space="preserve">owever, only 20% of </w:t>
      </w:r>
      <w:r w:rsidR="00DB5640">
        <w:t>all residents from Census Tract A are reported for Census Tract B, and</w:t>
      </w:r>
      <w:r w:rsidR="00AC0896">
        <w:t xml:space="preserve"> </w:t>
      </w:r>
      <w:r w:rsidR="00DB5640">
        <w:t>t</w:t>
      </w:r>
      <w:r w:rsidR="00AC0896">
        <w:t xml:space="preserve">he missing 80% of reported </w:t>
      </w:r>
      <w:r w:rsidR="00DB5640">
        <w:t>Census Tract A residents</w:t>
      </w:r>
      <w:r w:rsidR="00AC0896">
        <w:t xml:space="preserve"> might not show the same tendency to commute by car</w:t>
      </w:r>
      <w:r w:rsidR="00140FD0">
        <w:t>.</w:t>
      </w:r>
      <w:r w:rsidR="00DB5640">
        <w:t xml:space="preserve"> </w:t>
      </w:r>
    </w:p>
    <w:p w14:paraId="757253FB" w14:textId="5E883DCA" w:rsidR="00025F92" w:rsidRDefault="00025F92" w:rsidP="002009AD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b/>
        </w:rPr>
        <w:t>2006</w:t>
      </w:r>
      <w:r w:rsidRPr="002009AD">
        <w:t>-</w:t>
      </w:r>
      <w:r w:rsidRPr="002009AD">
        <w:rPr>
          <w:b/>
        </w:rPr>
        <w:t>2010 CTPP cannot be compared to 2012-2016 CTPP for geographies smaller than counties for Part 2 and 3</w:t>
      </w:r>
      <w:r w:rsidR="00C2556D">
        <w:rPr>
          <w:b/>
        </w:rPr>
        <w:t xml:space="preserve"> data</w:t>
      </w:r>
      <w:r w:rsidRPr="002009AD">
        <w:rPr>
          <w:b/>
        </w:rPr>
        <w:t>.</w:t>
      </w:r>
      <w:r>
        <w:rPr>
          <w:b/>
        </w:rPr>
        <w:t xml:space="preserve"> </w:t>
      </w:r>
      <w:r>
        <w:t xml:space="preserve">Any attempt to compare the new </w:t>
      </w:r>
      <w:r w:rsidR="004B4C15">
        <w:t>place-of-work</w:t>
      </w:r>
      <w:r>
        <w:t xml:space="preserve"> counts with the previous</w:t>
      </w:r>
      <w:r w:rsidR="004B4C15">
        <w:t>ly reported</w:t>
      </w:r>
      <w:r>
        <w:t xml:space="preserve"> CTPP totals at such </w:t>
      </w:r>
      <w:r w:rsidR="004B4C15">
        <w:t xml:space="preserve">geographic summary levels </w:t>
      </w:r>
      <w:r>
        <w:t>will likely lead to a questionable result</w:t>
      </w:r>
      <w:r w:rsidR="004B4C15">
        <w:t>, given the significant change in methodology between the two releases.</w:t>
      </w:r>
    </w:p>
    <w:p w14:paraId="29ECAC18" w14:textId="13A5A624" w:rsidR="00140FD0" w:rsidRPr="002009AD" w:rsidRDefault="00724F82" w:rsidP="00140FD0">
      <w:pPr>
        <w:rPr>
          <w:b/>
          <w:sz w:val="24"/>
        </w:rPr>
      </w:pPr>
      <w:r w:rsidRPr="002009AD">
        <w:rPr>
          <w:b/>
          <w:sz w:val="24"/>
        </w:rPr>
        <w:lastRenderedPageBreak/>
        <w:t>What should we do now?</w:t>
      </w:r>
    </w:p>
    <w:p w14:paraId="45965309" w14:textId="61F1426F" w:rsidR="00F76DB9" w:rsidRDefault="00F76DB9" w:rsidP="00F76DB9">
      <w:r>
        <w:t>T</w:t>
      </w:r>
      <w:r w:rsidR="00FA6727">
        <w:t>he</w:t>
      </w:r>
      <w:r>
        <w:t xml:space="preserve"> methodological change resulting in the 2012-2016 CTPP will not be modified to have an imputed “complete” count for Parts 2 and 3 data at smaller geographies</w:t>
      </w:r>
      <w:r w:rsidR="00546892">
        <w:t xml:space="preserve"> that will sum to county/larger geographies</w:t>
      </w:r>
      <w:r w:rsidR="00FA6727">
        <w:t>.</w:t>
      </w:r>
      <w:r>
        <w:t xml:space="preserve"> Preliminary conversations with the U.S. Census Bureau and AASHTO have explored the release of a comparable data product limited to reported knowns for the 2006-2010 CTPP, which would enable longitudinal </w:t>
      </w:r>
      <w:r w:rsidR="005E119D">
        <w:t>comparisons</w:t>
      </w:r>
      <w:r>
        <w:t>. However, such a product w</w:t>
      </w:r>
      <w:r w:rsidR="005E119D">
        <w:t>ould</w:t>
      </w:r>
      <w:r>
        <w:t xml:space="preserve"> take time to prepare and there is no immediate solution for comparing Part 2 and 3 smaller geographies across the years</w:t>
      </w:r>
      <w:r w:rsidR="005E119D">
        <w:t>, or analyze differences in the representative distributions</w:t>
      </w:r>
      <w:r>
        <w:t xml:space="preserve">. </w:t>
      </w:r>
      <w:r w:rsidR="005E119D">
        <w:t>We are actively working with our colleagues at the Census Bureau to better understand data reported for smaller geographies in both the current and prior releases.</w:t>
      </w:r>
    </w:p>
    <w:p w14:paraId="01479890" w14:textId="7EEFC337" w:rsidR="00FA6727" w:rsidRDefault="00F76DB9" w:rsidP="005E119D">
      <w:r>
        <w:t>G</w:t>
      </w:r>
      <w:r w:rsidR="00FA6727">
        <w:t xml:space="preserve">iven that many </w:t>
      </w:r>
      <w:r>
        <w:t xml:space="preserve">planning professionals and transportation agencies </w:t>
      </w:r>
      <w:r w:rsidR="00FA6727">
        <w:t>use CTPP for various purposes,</w:t>
      </w:r>
      <w:r w:rsidR="005E119D">
        <w:t xml:space="preserve"> in the meantime</w:t>
      </w:r>
      <w:r w:rsidR="00FA6727">
        <w:t xml:space="preserve"> </w:t>
      </w:r>
      <w:r w:rsidR="006F568E">
        <w:t xml:space="preserve">we </w:t>
      </w:r>
      <w:r>
        <w:t xml:space="preserve">request your attention and caution </w:t>
      </w:r>
      <w:r w:rsidR="005E119D">
        <w:t xml:space="preserve">when </w:t>
      </w:r>
      <w:r>
        <w:t>using the new CTPP release</w:t>
      </w:r>
      <w:r w:rsidR="006F568E">
        <w:t>.</w:t>
      </w:r>
      <w:r w:rsidR="00D1112D">
        <w:t xml:space="preserve"> </w:t>
      </w:r>
      <w:r w:rsidR="005E119D">
        <w:t>We advise that you please u</w:t>
      </w:r>
      <w:r w:rsidR="006F568E">
        <w:t xml:space="preserve">se discretion in interpreting the </w:t>
      </w:r>
      <w:r w:rsidR="00EB18C3">
        <w:t xml:space="preserve">data </w:t>
      </w:r>
      <w:r w:rsidR="005E119D">
        <w:t xml:space="preserve">and analytic </w:t>
      </w:r>
      <w:r w:rsidR="006F568E">
        <w:t>re</w:t>
      </w:r>
      <w:r w:rsidR="00724F82">
        <w:t xml:space="preserve">sults based on local knowledge and information from other </w:t>
      </w:r>
      <w:r w:rsidR="005E119D">
        <w:t>federal data sources</w:t>
      </w:r>
      <w:r w:rsidR="00724F82">
        <w:t xml:space="preserve">, regional and local travel surveys, </w:t>
      </w:r>
      <w:r w:rsidR="005E119D">
        <w:t xml:space="preserve">transit agency reports, </w:t>
      </w:r>
      <w:r w:rsidR="00724F82">
        <w:t xml:space="preserve">etc. </w:t>
      </w:r>
      <w:r w:rsidR="00D727E4">
        <w:t xml:space="preserve">Please advise data users in your agency and consultants working on your projects to do the same. </w:t>
      </w:r>
    </w:p>
    <w:sectPr w:rsidR="00FA6727" w:rsidSect="00713262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9D403" w14:textId="77777777" w:rsidR="004B4C15" w:rsidRDefault="004B4C15" w:rsidP="004B4C15">
      <w:pPr>
        <w:spacing w:after="0" w:line="240" w:lineRule="auto"/>
      </w:pPr>
      <w:r>
        <w:separator/>
      </w:r>
    </w:p>
  </w:endnote>
  <w:endnote w:type="continuationSeparator" w:id="0">
    <w:p w14:paraId="6699BA96" w14:textId="77777777" w:rsidR="004B4C15" w:rsidRDefault="004B4C15" w:rsidP="004B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363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3098B" w14:textId="4CED5186" w:rsidR="00713262" w:rsidRDefault="007132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9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4F6093" w14:textId="77777777" w:rsidR="00713262" w:rsidRDefault="00713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BC759" w14:textId="77777777" w:rsidR="004B4C15" w:rsidRDefault="004B4C15" w:rsidP="004B4C15">
      <w:pPr>
        <w:spacing w:after="0" w:line="240" w:lineRule="auto"/>
      </w:pPr>
      <w:r>
        <w:separator/>
      </w:r>
    </w:p>
  </w:footnote>
  <w:footnote w:type="continuationSeparator" w:id="0">
    <w:p w14:paraId="5BB45BBC" w14:textId="77777777" w:rsidR="004B4C15" w:rsidRDefault="004B4C15" w:rsidP="004B4C15">
      <w:pPr>
        <w:spacing w:after="0" w:line="240" w:lineRule="auto"/>
      </w:pPr>
      <w:r>
        <w:continuationSeparator/>
      </w:r>
    </w:p>
  </w:footnote>
  <w:footnote w:id="1">
    <w:p w14:paraId="7E83975D" w14:textId="251F9242" w:rsidR="004B4C15" w:rsidRDefault="004B4C15">
      <w:pPr>
        <w:pStyle w:val="FootnoteText"/>
      </w:pPr>
      <w:r>
        <w:rPr>
          <w:rStyle w:val="FootnoteReference"/>
        </w:rPr>
        <w:footnoteRef/>
      </w:r>
      <w:r>
        <w:t xml:space="preserve"> Neighborhood Tabulation Area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C37E0" w14:textId="43889739" w:rsidR="00007F93" w:rsidRDefault="00007F93" w:rsidP="00713262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EB63" w14:textId="6AC6FFB9" w:rsidR="00713262" w:rsidRDefault="00713262" w:rsidP="004762CD">
    <w:pPr>
      <w:pStyle w:val="Header"/>
      <w:jc w:val="center"/>
    </w:pPr>
    <w:r w:rsidRPr="00A930CA">
      <w:rPr>
        <w:rFonts w:ascii="Arial" w:hAnsi="Arial" w:cs="Arial"/>
        <w:noProof/>
        <w:sz w:val="18"/>
        <w:szCs w:val="18"/>
      </w:rPr>
      <w:drawing>
        <wp:inline distT="0" distB="0" distL="0" distR="0" wp14:anchorId="70EE4041" wp14:editId="7F2403CE">
          <wp:extent cx="1276709" cy="616856"/>
          <wp:effectExtent l="0" t="0" r="0" b="0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465" cy="638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4FCEED" w14:textId="77777777" w:rsidR="004762CD" w:rsidRPr="00170E15" w:rsidRDefault="004762CD" w:rsidP="004762CD">
    <w:pPr>
      <w:spacing w:before="120" w:after="0"/>
      <w:jc w:val="center"/>
      <w:rPr>
        <w:rFonts w:ascii="Arial" w:hAnsi="Arial" w:cs="Arial"/>
        <w:sz w:val="16"/>
        <w:szCs w:val="16"/>
      </w:rPr>
    </w:pPr>
    <w:bookmarkStart w:id="1" w:name="_Hlk10452464"/>
    <w:r w:rsidRPr="00170E15">
      <w:rPr>
        <w:rFonts w:ascii="Arial" w:hAnsi="Arial" w:cs="Arial"/>
        <w:sz w:val="16"/>
        <w:szCs w:val="16"/>
      </w:rPr>
      <w:t xml:space="preserve">Marisa Lago, </w:t>
    </w:r>
    <w:r w:rsidRPr="00170E15">
      <w:rPr>
        <w:rFonts w:ascii="Arial" w:hAnsi="Arial" w:cs="Arial"/>
        <w:i/>
        <w:iCs/>
        <w:sz w:val="16"/>
        <w:szCs w:val="16"/>
      </w:rPr>
      <w:t>Director</w:t>
    </w:r>
  </w:p>
  <w:p w14:paraId="36C2306A" w14:textId="77777777" w:rsidR="004762CD" w:rsidRPr="00170E15" w:rsidRDefault="004762CD" w:rsidP="004762CD">
    <w:pPr>
      <w:spacing w:after="0"/>
      <w:jc w:val="center"/>
      <w:rPr>
        <w:rFonts w:ascii="Arial" w:hAnsi="Arial" w:cs="Arial"/>
      </w:rPr>
    </w:pPr>
    <w:r w:rsidRPr="00170E15">
      <w:rPr>
        <w:rFonts w:ascii="Arial" w:hAnsi="Arial" w:cs="Arial"/>
        <w:sz w:val="16"/>
        <w:szCs w:val="16"/>
      </w:rPr>
      <w:t>Department of City Planning</w:t>
    </w:r>
  </w:p>
  <w:bookmarkEnd w:id="1"/>
  <w:p w14:paraId="6F4D5344" w14:textId="77777777" w:rsidR="004762CD" w:rsidRDefault="004762CD" w:rsidP="007132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A353B"/>
    <w:multiLevelType w:val="hybridMultilevel"/>
    <w:tmpl w:val="87D4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35"/>
    <w:rsid w:val="00007F93"/>
    <w:rsid w:val="00025F92"/>
    <w:rsid w:val="0008607C"/>
    <w:rsid w:val="00140FD0"/>
    <w:rsid w:val="0015662C"/>
    <w:rsid w:val="00157649"/>
    <w:rsid w:val="00157E47"/>
    <w:rsid w:val="00176AA8"/>
    <w:rsid w:val="001A1DCB"/>
    <w:rsid w:val="001C6C4E"/>
    <w:rsid w:val="001F47F2"/>
    <w:rsid w:val="002009AD"/>
    <w:rsid w:val="002B066C"/>
    <w:rsid w:val="003274BE"/>
    <w:rsid w:val="00337C0E"/>
    <w:rsid w:val="00360155"/>
    <w:rsid w:val="00376335"/>
    <w:rsid w:val="00383FC8"/>
    <w:rsid w:val="003B3CEC"/>
    <w:rsid w:val="003B7B54"/>
    <w:rsid w:val="003F6685"/>
    <w:rsid w:val="00435F3E"/>
    <w:rsid w:val="004762CD"/>
    <w:rsid w:val="004A4929"/>
    <w:rsid w:val="004B2019"/>
    <w:rsid w:val="004B4C15"/>
    <w:rsid w:val="004C2F39"/>
    <w:rsid w:val="00546892"/>
    <w:rsid w:val="005E119D"/>
    <w:rsid w:val="0067323E"/>
    <w:rsid w:val="00691475"/>
    <w:rsid w:val="006C0B18"/>
    <w:rsid w:val="006C590B"/>
    <w:rsid w:val="006E6A97"/>
    <w:rsid w:val="006F568E"/>
    <w:rsid w:val="00704F7E"/>
    <w:rsid w:val="00707F11"/>
    <w:rsid w:val="00713262"/>
    <w:rsid w:val="00724F82"/>
    <w:rsid w:val="007C4541"/>
    <w:rsid w:val="007D4C55"/>
    <w:rsid w:val="007E58A6"/>
    <w:rsid w:val="00806AEA"/>
    <w:rsid w:val="008658A5"/>
    <w:rsid w:val="0086786C"/>
    <w:rsid w:val="00884ED1"/>
    <w:rsid w:val="008A2142"/>
    <w:rsid w:val="008A279A"/>
    <w:rsid w:val="00930129"/>
    <w:rsid w:val="00952FD1"/>
    <w:rsid w:val="009B3116"/>
    <w:rsid w:val="009C33D7"/>
    <w:rsid w:val="009D21E0"/>
    <w:rsid w:val="00A9461E"/>
    <w:rsid w:val="00AB62AA"/>
    <w:rsid w:val="00AC0896"/>
    <w:rsid w:val="00AE37FB"/>
    <w:rsid w:val="00AE39EE"/>
    <w:rsid w:val="00B05785"/>
    <w:rsid w:val="00B20366"/>
    <w:rsid w:val="00B72052"/>
    <w:rsid w:val="00BB0CAB"/>
    <w:rsid w:val="00C0015A"/>
    <w:rsid w:val="00C125BC"/>
    <w:rsid w:val="00C2556D"/>
    <w:rsid w:val="00C65B47"/>
    <w:rsid w:val="00D1112D"/>
    <w:rsid w:val="00D54570"/>
    <w:rsid w:val="00D610CB"/>
    <w:rsid w:val="00D727E4"/>
    <w:rsid w:val="00DB5431"/>
    <w:rsid w:val="00DB5640"/>
    <w:rsid w:val="00DC6634"/>
    <w:rsid w:val="00DD6B61"/>
    <w:rsid w:val="00E001DF"/>
    <w:rsid w:val="00E3330F"/>
    <w:rsid w:val="00E56610"/>
    <w:rsid w:val="00E56757"/>
    <w:rsid w:val="00E777C1"/>
    <w:rsid w:val="00EB18C3"/>
    <w:rsid w:val="00F30E4C"/>
    <w:rsid w:val="00F44ACE"/>
    <w:rsid w:val="00F533D4"/>
    <w:rsid w:val="00F544EF"/>
    <w:rsid w:val="00F76DB9"/>
    <w:rsid w:val="00F77344"/>
    <w:rsid w:val="00FA6727"/>
    <w:rsid w:val="00FA6F39"/>
    <w:rsid w:val="00FB708D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0AC0"/>
  <w15:chartTrackingRefBased/>
  <w15:docId w15:val="{9EF56B0D-93BA-47A2-ACE4-10FBB173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2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5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5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5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732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5F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4C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C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4C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07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F93"/>
  </w:style>
  <w:style w:type="paragraph" w:styleId="Footer">
    <w:name w:val="footer"/>
    <w:basedOn w:val="Normal"/>
    <w:link w:val="FooterChar"/>
    <w:uiPriority w:val="99"/>
    <w:unhideWhenUsed/>
    <w:rsid w:val="00007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62D6-233C-4907-8B7A-4B7386B8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6038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Zhang (DCP)</dc:creator>
  <cp:keywords/>
  <dc:description/>
  <cp:lastModifiedBy>Carolyn Grossman Meagher (DCP)</cp:lastModifiedBy>
  <cp:revision>2</cp:revision>
  <dcterms:created xsi:type="dcterms:W3CDTF">2019-06-03T15:31:00Z</dcterms:created>
  <dcterms:modified xsi:type="dcterms:W3CDTF">2019-06-03T15:31:00Z</dcterms:modified>
</cp:coreProperties>
</file>